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C79" w:rsidRDefault="00D35523" w:rsidP="00593493">
      <w:pPr>
        <w:autoSpaceDE w:val="0"/>
        <w:autoSpaceDN w:val="0"/>
        <w:adjustRightInd w:val="0"/>
        <w:spacing w:after="0" w:line="240" w:lineRule="auto"/>
        <w:rPr>
          <w:rFonts w:eastAsia="Times New Roman,Bold" w:cs="Times New Roman,Bold"/>
          <w:b/>
          <w:bCs/>
          <w:sz w:val="28"/>
          <w:szCs w:val="28"/>
        </w:rPr>
      </w:pPr>
      <w:bookmarkStart w:id="0" w:name="_GoBack"/>
      <w:r>
        <w:rPr>
          <w:rFonts w:ascii="Times New Roman" w:hAnsi="Times New Roman" w:cs="Times New Roman"/>
          <w:noProof/>
          <w:color w:val="616161"/>
          <w:sz w:val="24"/>
          <w:szCs w:val="24"/>
        </w:rPr>
        <w:drawing>
          <wp:anchor distT="0" distB="0" distL="114300" distR="114300" simplePos="0" relativeHeight="251657216" behindDoc="1" locked="0" layoutInCell="1" allowOverlap="1">
            <wp:simplePos x="0" y="0"/>
            <wp:positionH relativeFrom="column">
              <wp:posOffset>-1032510</wp:posOffset>
            </wp:positionH>
            <wp:positionV relativeFrom="paragraph">
              <wp:posOffset>-720090</wp:posOffset>
            </wp:positionV>
            <wp:extent cx="7477125" cy="10568305"/>
            <wp:effectExtent l="0" t="0" r="0" b="0"/>
            <wp:wrapTight wrapText="bothSides">
              <wp:wrapPolygon edited="0">
                <wp:start x="0" y="0"/>
                <wp:lineTo x="0" y="21570"/>
                <wp:lineTo x="21572" y="21570"/>
                <wp:lineTo x="2157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1006_220512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77125" cy="10568305"/>
                    </a:xfrm>
                    <a:prstGeom prst="rect">
                      <a:avLst/>
                    </a:prstGeom>
                  </pic:spPr>
                </pic:pic>
              </a:graphicData>
            </a:graphic>
            <wp14:sizeRelH relativeFrom="margin">
              <wp14:pctWidth>0</wp14:pctWidth>
            </wp14:sizeRelH>
            <wp14:sizeRelV relativeFrom="margin">
              <wp14:pctHeight>0</wp14:pctHeight>
            </wp14:sizeRelV>
          </wp:anchor>
        </w:drawing>
      </w:r>
      <w:bookmarkEnd w:id="0"/>
    </w:p>
    <w:p w:rsidR="00D35523" w:rsidRPr="00CF2C79" w:rsidRDefault="00D35523" w:rsidP="00D35523">
      <w:pPr>
        <w:pStyle w:val="a5"/>
        <w:jc w:val="center"/>
        <w:rPr>
          <w:rFonts w:ascii="Times New Roman" w:hAnsi="Times New Roman" w:cs="Times New Roman"/>
          <w:color w:val="616161"/>
          <w:sz w:val="24"/>
          <w:szCs w:val="24"/>
        </w:rPr>
      </w:pPr>
    </w:p>
    <w:p w:rsidR="00CF2C79" w:rsidRPr="00CF2C79" w:rsidRDefault="00CF2C79" w:rsidP="00CF2C79">
      <w:pPr>
        <w:pStyle w:val="a5"/>
        <w:rPr>
          <w:rFonts w:ascii="Times New Roman" w:hAnsi="Times New Roman" w:cs="Times New Roman"/>
          <w:sz w:val="24"/>
          <w:szCs w:val="24"/>
        </w:rPr>
      </w:pPr>
      <w:r w:rsidRPr="00CF2C79">
        <w:rPr>
          <w:rFonts w:ascii="Times New Roman" w:hAnsi="Times New Roman" w:cs="Times New Roman"/>
          <w:color w:val="616161"/>
          <w:sz w:val="24"/>
          <w:szCs w:val="24"/>
        </w:rPr>
        <w:br/>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организация образовательного процесса и финансово-хозяйственной деятельность Учреждения   на высоком качественном уровне;</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определение перспективных направлений функционирования и развития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привлечение общественности к решению вопросов развития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создание оптимальных условий для осуществления образовательного процесса, развивающей и досуговой деятельности;</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решение вопросов, связанных с развитием образовательной среды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решение вопросов о необходимости регламентации локальными актами отдельных аспектов деятельности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помощь администрации в разработке локальных актов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разрешение проблемных (конфликтных) ситуаций с участниками образовательного процесса в пределах своей компетенции;</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внесение предложений по вопросам охраны и безопасности условий образовательного процесса и трудовой деятельности, охраны жизни и здоровья учащихся и работников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принятие мер по защите чести, достоинства и профессиональной репутации работников Учреждения, предупреждение противоправного вмешательства в их трудовую деятельность;</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внесение предложений по формированию фонда оплаты труда, порядка стимулирования труда работников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внесение предложений по порядку и условиям предоставления социальных гарантий и льгот учащимся и работникам в пределах компетенции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внесение предложений о поощрении работников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направление ходатайств, писем в различные административные органы, общественные организации и др. по вопросам, относящимся к оптимизации деятельности Учреждения и повышения качества оказываемых образовательных услуг.</w:t>
      </w:r>
    </w:p>
    <w:p w:rsidR="00CF2C79" w:rsidRPr="00CF2C79" w:rsidRDefault="00CF2C79" w:rsidP="00CF2C79">
      <w:pPr>
        <w:pStyle w:val="a5"/>
        <w:rPr>
          <w:rFonts w:ascii="Times New Roman" w:hAnsi="Times New Roman" w:cs="Times New Roman"/>
          <w:sz w:val="24"/>
          <w:szCs w:val="24"/>
        </w:rPr>
      </w:pPr>
      <w:r w:rsidRPr="00CF2C79">
        <w:rPr>
          <w:rFonts w:ascii="Times New Roman" w:hAnsi="Times New Roman" w:cs="Times New Roman"/>
          <w:sz w:val="24"/>
          <w:szCs w:val="24"/>
        </w:rPr>
        <w:t>3. Компетенция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 компетенцию Общего собрания входит:</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проведение работы по привлечению дополнительных финансовых и материально-технических ресурсов, установление порядка их использования;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внесение предложений об организации сотрудничества Учреждения с другими образовательными и иными организациями социальной сферы, в том числе при реализации образовательных программ Учреждения и организации воспитательного процесса, досуговой деятельности;</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представление интересов учреждения в органах власти, других организациях и учреждениях;</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рассмотрение документов контрольно-надзорных органов о проверке деятельности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заслушивание публичного доклада руководителя Учреждения, его обсуждение;</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принятие локальных актов Учреждения согласно Уставу, включая Правила внутреннего трудового распорядка организации; Кодекс профессиональной этики педагогических работников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участие в разработке положений Коллективного договора.</w:t>
      </w:r>
    </w:p>
    <w:p w:rsidR="00CF2C79" w:rsidRPr="00CF2C79" w:rsidRDefault="00CF2C79" w:rsidP="00CF2C79">
      <w:pPr>
        <w:pStyle w:val="a5"/>
        <w:rPr>
          <w:rFonts w:ascii="Times New Roman" w:hAnsi="Times New Roman" w:cs="Times New Roman"/>
          <w:sz w:val="24"/>
          <w:szCs w:val="24"/>
        </w:rPr>
      </w:pPr>
      <w:r w:rsidRPr="00CF2C79">
        <w:rPr>
          <w:rFonts w:ascii="Times New Roman" w:hAnsi="Times New Roman" w:cs="Times New Roman"/>
          <w:sz w:val="24"/>
          <w:szCs w:val="24"/>
        </w:rPr>
        <w:t>4. Организация деятельности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4.1. В состав Общего собрания входят все работники Учреждения.</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 xml:space="preserve">4.2. 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w:t>
      </w:r>
      <w:r w:rsidRPr="00CF2C79">
        <w:rPr>
          <w:rFonts w:ascii="Times New Roman" w:hAnsi="Times New Roman" w:cs="Times New Roman"/>
          <w:color w:val="616161"/>
          <w:sz w:val="24"/>
          <w:szCs w:val="24"/>
        </w:rPr>
        <w:lastRenderedPageBreak/>
        <w:t>вносить предложения и заявления, участвовать в обсуждении вопросов, находящихся в их компетенции.</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4.3. Руководство Общим собранием осуществляет Председатель, который избирается на Общем собрании на три учебных года. Ведение протоколов Общего собрания осуществляется секретарем, который избирается на первом заседании Общего собрания сроком на три учебных года. Председатель и секретарь Общего собрания выполняют свои обязанности на общественных началах.</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4.4. Председатель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организует деятельность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информирует членов общего собрания о предстоящем заседании не менее чем за три дня до его заседания;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организует подготовку и проведение заседания;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определяет повестку дня;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контролирует выполнение решений.</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4.5. Общее собрание ОО собирается его Председателем по мере необходимости, но не реже одного раза в год.</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4.6. Общее собрание считается правомочным, если на нем присутствует не менее 50% членов  коллектива Учреждения.</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4.7. Решения Общего собрания принимаются открытым голосованием.</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4.8. Решения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считаются принятыми, если за них проголосовало не менее 2/3 присутствующих;</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являются правомочными, если на заседании присутствовало не менее 2/3 членов совета;</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после принятия носят рекомендательный характер, а после утверждения руководителем учреждения становятся обязательными для исполнения;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доводятся до всего трудового коллектива учреждения не позднее, чем в течение 5-ти дней после прошедшего заседания.</w:t>
      </w:r>
    </w:p>
    <w:p w:rsidR="00CF2C79" w:rsidRPr="00CF2C79" w:rsidRDefault="00CF2C79" w:rsidP="00CF2C79">
      <w:pPr>
        <w:pStyle w:val="a5"/>
        <w:rPr>
          <w:rFonts w:ascii="Times New Roman" w:hAnsi="Times New Roman" w:cs="Times New Roman"/>
          <w:color w:val="2471AF"/>
          <w:sz w:val="24"/>
          <w:szCs w:val="24"/>
        </w:rPr>
      </w:pPr>
    </w:p>
    <w:p w:rsidR="00CF2C79" w:rsidRPr="00CF2C79" w:rsidRDefault="00CF2C79" w:rsidP="00CF2C79">
      <w:pPr>
        <w:pStyle w:val="a5"/>
        <w:rPr>
          <w:rFonts w:ascii="Times New Roman" w:hAnsi="Times New Roman" w:cs="Times New Roman"/>
          <w:sz w:val="24"/>
          <w:szCs w:val="24"/>
        </w:rPr>
      </w:pPr>
      <w:r w:rsidRPr="00CF2C79">
        <w:rPr>
          <w:rFonts w:ascii="Times New Roman" w:hAnsi="Times New Roman" w:cs="Times New Roman"/>
          <w:sz w:val="24"/>
          <w:szCs w:val="24"/>
        </w:rPr>
        <w:t>5. Ответственность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5.1. Общее собрание несет ответственность:</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за выполнение, выполнение не в полном объеме или невыполнение закрепленных за ним задач;</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соответствие принимаемых решений законодательству Российской Федерации, подзаконным нормативным правовым актам, Уставу Учреждения.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за компетентность принимаемых решений.</w:t>
      </w:r>
    </w:p>
    <w:p w:rsidR="00CF2C79" w:rsidRPr="00CF2C79" w:rsidRDefault="00CF2C79" w:rsidP="00CF2C79">
      <w:pPr>
        <w:pStyle w:val="a5"/>
        <w:rPr>
          <w:rFonts w:ascii="Times New Roman" w:hAnsi="Times New Roman" w:cs="Times New Roman"/>
          <w:sz w:val="24"/>
          <w:szCs w:val="24"/>
        </w:rPr>
      </w:pPr>
      <w:r w:rsidRPr="00CF2C79">
        <w:rPr>
          <w:rFonts w:ascii="Times New Roman" w:hAnsi="Times New Roman" w:cs="Times New Roman"/>
          <w:sz w:val="24"/>
          <w:szCs w:val="24"/>
        </w:rPr>
        <w:t>6. Делопроизводство Общего собрания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6.1. Заседания Общего собрания оформляются протоколом.</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6.2. В протоколе фиксируются: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дата проведения;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количественное присутствие (отсутствие) членов трудового коллектива;</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приглашенные (ФИО, должность);</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повестка дня;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выступающие лица;</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ход обсуждения вопросов;</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предложения, рекомендации и замечания членов трудового коллектива и приглашенных лиц;</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решение.</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lastRenderedPageBreak/>
        <w:t>6.3. Протоколы подписываются председателем и секретарем Общего собрания.</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6.4. Нумерация протоколов ведется от начала календарного года.</w:t>
      </w:r>
      <w:r w:rsidRPr="00CF2C79">
        <w:rPr>
          <w:rFonts w:ascii="Times New Roman" w:hAnsi="Times New Roman" w:cs="Times New Roman"/>
          <w:color w:val="616161"/>
          <w:sz w:val="24"/>
          <w:szCs w:val="24"/>
        </w:rPr>
        <w:br/>
      </w:r>
      <w:r w:rsidRPr="00CF2C79">
        <w:rPr>
          <w:rFonts w:ascii="Times New Roman" w:hAnsi="Times New Roman" w:cs="Times New Roman"/>
          <w:color w:val="616161"/>
          <w:sz w:val="24"/>
          <w:szCs w:val="24"/>
        </w:rPr>
        <w:br/>
        <w:t>6.5. Протоколы Общего собрания хранятся в делах Учреждения и передаются по акту (при смене руководителя, передаче в архив).</w:t>
      </w:r>
    </w:p>
    <w:p w:rsidR="00CF2C79" w:rsidRPr="00CF2C79" w:rsidRDefault="00CF2C79" w:rsidP="00CF2C79">
      <w:pPr>
        <w:pStyle w:val="a5"/>
        <w:rPr>
          <w:rFonts w:ascii="Times New Roman" w:hAnsi="Times New Roman" w:cs="Times New Roman"/>
          <w:sz w:val="24"/>
          <w:szCs w:val="24"/>
        </w:rPr>
      </w:pPr>
      <w:r w:rsidRPr="00CF2C79">
        <w:rPr>
          <w:rFonts w:ascii="Times New Roman" w:hAnsi="Times New Roman" w:cs="Times New Roman"/>
          <w:sz w:val="24"/>
          <w:szCs w:val="24"/>
        </w:rPr>
        <w:t>7. Заключительные положения</w:t>
      </w:r>
    </w:p>
    <w:p w:rsidR="00CF2C79" w:rsidRPr="00CF2C79" w:rsidRDefault="00CF2C79" w:rsidP="00CF2C79">
      <w:pPr>
        <w:pStyle w:val="a5"/>
        <w:rPr>
          <w:rFonts w:ascii="Times New Roman" w:hAnsi="Times New Roman" w:cs="Times New Roman"/>
          <w:color w:val="616161"/>
          <w:sz w:val="24"/>
          <w:szCs w:val="24"/>
        </w:rPr>
      </w:pPr>
      <w:r w:rsidRPr="00CF2C79">
        <w:rPr>
          <w:rFonts w:ascii="Times New Roman" w:hAnsi="Times New Roman" w:cs="Times New Roman"/>
          <w:color w:val="616161"/>
          <w:sz w:val="24"/>
          <w:szCs w:val="24"/>
        </w:rPr>
        <w:t>7.1. Изменения и дополнения в настоящее положение вносятся Общим собранием и принимаются на его заседании. Положение действует до принятия нового положения, утвержденного на Общем собрании трудового коллектива в установленном порядке</w:t>
      </w: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hAnsi="Times New Roman" w:cs="Times New Roman"/>
          <w:sz w:val="24"/>
          <w:szCs w:val="24"/>
        </w:rPr>
      </w:pPr>
    </w:p>
    <w:p w:rsidR="00CF2C79" w:rsidRPr="00CF2C79" w:rsidRDefault="00CF2C79" w:rsidP="00CF2C79">
      <w:pPr>
        <w:pStyle w:val="a5"/>
        <w:rPr>
          <w:rFonts w:ascii="Times New Roman" w:eastAsia="Times New Roman,Bold" w:hAnsi="Times New Roman" w:cs="Times New Roman"/>
          <w:b/>
          <w:bCs/>
          <w:sz w:val="24"/>
          <w:szCs w:val="24"/>
        </w:rPr>
      </w:pPr>
    </w:p>
    <w:p w:rsidR="00CF2C79" w:rsidRPr="00CF2C79" w:rsidRDefault="00CF2C79" w:rsidP="00CF2C79">
      <w:pPr>
        <w:pStyle w:val="a5"/>
        <w:rPr>
          <w:rFonts w:ascii="Times New Roman" w:eastAsia="Times New Roman,Bold" w:hAnsi="Times New Roman" w:cs="Times New Roman"/>
          <w:b/>
          <w:bCs/>
          <w:sz w:val="24"/>
          <w:szCs w:val="24"/>
        </w:rPr>
      </w:pPr>
    </w:p>
    <w:p w:rsidR="00CF2C79" w:rsidRPr="00CF2C79" w:rsidRDefault="00CF2C79" w:rsidP="00CF2C79">
      <w:pPr>
        <w:pStyle w:val="a5"/>
        <w:rPr>
          <w:rFonts w:ascii="Times New Roman" w:eastAsia="Times New Roman,Bold" w:hAnsi="Times New Roman" w:cs="Times New Roman"/>
          <w:b/>
          <w:bCs/>
          <w:sz w:val="24"/>
          <w:szCs w:val="24"/>
        </w:rPr>
      </w:pPr>
    </w:p>
    <w:p w:rsidR="00CF2C79" w:rsidRPr="00CF2C79" w:rsidRDefault="00CF2C79">
      <w:pPr>
        <w:pStyle w:val="a5"/>
        <w:rPr>
          <w:rFonts w:ascii="Times New Roman" w:eastAsia="Times New Roman,Bold" w:hAnsi="Times New Roman" w:cs="Times New Roman"/>
          <w:b/>
          <w:bCs/>
          <w:sz w:val="24"/>
          <w:szCs w:val="24"/>
        </w:rPr>
      </w:pPr>
    </w:p>
    <w:sectPr w:rsidR="00CF2C79" w:rsidRPr="00CF2C79" w:rsidSect="00DB6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8CD"/>
    <w:multiLevelType w:val="multilevel"/>
    <w:tmpl w:val="FF283B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AE258F"/>
    <w:multiLevelType w:val="multilevel"/>
    <w:tmpl w:val="1332A6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836695"/>
    <w:multiLevelType w:val="multilevel"/>
    <w:tmpl w:val="60C4C27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813F59"/>
    <w:multiLevelType w:val="multilevel"/>
    <w:tmpl w:val="077C9CD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6815DB"/>
    <w:multiLevelType w:val="multilevel"/>
    <w:tmpl w:val="338260A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EFC7DDF"/>
    <w:multiLevelType w:val="multilevel"/>
    <w:tmpl w:val="6C20681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3052"/>
    <w:rsid w:val="00081F3B"/>
    <w:rsid w:val="000C2198"/>
    <w:rsid w:val="001B36EF"/>
    <w:rsid w:val="002F404C"/>
    <w:rsid w:val="003105D5"/>
    <w:rsid w:val="003A61F5"/>
    <w:rsid w:val="00503052"/>
    <w:rsid w:val="00593493"/>
    <w:rsid w:val="00606800"/>
    <w:rsid w:val="006C5A47"/>
    <w:rsid w:val="006E0415"/>
    <w:rsid w:val="00801713"/>
    <w:rsid w:val="008A1B3E"/>
    <w:rsid w:val="00A7760E"/>
    <w:rsid w:val="00BC0822"/>
    <w:rsid w:val="00C84C81"/>
    <w:rsid w:val="00CF2C79"/>
    <w:rsid w:val="00D35523"/>
    <w:rsid w:val="00D43032"/>
    <w:rsid w:val="00D80470"/>
    <w:rsid w:val="00DB699E"/>
    <w:rsid w:val="00DE6319"/>
    <w:rsid w:val="00F123A8"/>
    <w:rsid w:val="00FC54FC"/>
    <w:rsid w:val="00FE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17B9"/>
  <w15:docId w15:val="{F05516FD-8CDB-4CED-A38C-663029D4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699E"/>
  </w:style>
  <w:style w:type="paragraph" w:styleId="1">
    <w:name w:val="heading 1"/>
    <w:basedOn w:val="a"/>
    <w:link w:val="10"/>
    <w:uiPriority w:val="99"/>
    <w:qFormat/>
    <w:rsid w:val="00CF2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semiHidden/>
    <w:unhideWhenUsed/>
    <w:qFormat/>
    <w:rsid w:val="00CF2C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F2C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CF2C79"/>
    <w:rPr>
      <w:rFonts w:ascii="Times New Roman" w:eastAsia="Times New Roman" w:hAnsi="Times New Roman" w:cs="Times New Roman"/>
      <w:b/>
      <w:bCs/>
      <w:sz w:val="36"/>
      <w:szCs w:val="36"/>
      <w:lang w:eastAsia="ru-RU"/>
    </w:rPr>
  </w:style>
  <w:style w:type="paragraph" w:styleId="a4">
    <w:name w:val="Normal (Web)"/>
    <w:basedOn w:val="a"/>
    <w:semiHidden/>
    <w:unhideWhenUsed/>
    <w:rsid w:val="00CF2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2C79"/>
  </w:style>
  <w:style w:type="paragraph" w:styleId="a5">
    <w:name w:val="No Spacing"/>
    <w:uiPriority w:val="1"/>
    <w:qFormat/>
    <w:rsid w:val="00CF2C79"/>
    <w:pPr>
      <w:spacing w:after="0" w:line="240" w:lineRule="auto"/>
    </w:pPr>
  </w:style>
  <w:style w:type="paragraph" w:styleId="a6">
    <w:name w:val="Balloon Text"/>
    <w:basedOn w:val="a"/>
    <w:link w:val="a7"/>
    <w:uiPriority w:val="99"/>
    <w:semiHidden/>
    <w:unhideWhenUsed/>
    <w:rsid w:val="00F123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dc:creator>
  <cp:keywords/>
  <dc:description/>
  <cp:lastModifiedBy>Александр Медведев</cp:lastModifiedBy>
  <cp:revision>21</cp:revision>
  <cp:lastPrinted>2021-10-06T19:04:00Z</cp:lastPrinted>
  <dcterms:created xsi:type="dcterms:W3CDTF">2015-09-04T17:23:00Z</dcterms:created>
  <dcterms:modified xsi:type="dcterms:W3CDTF">2021-10-07T06:03:00Z</dcterms:modified>
</cp:coreProperties>
</file>